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9F896">
      <w:pPr>
        <w:spacing w:line="360" w:lineRule="auto"/>
        <w:rPr>
          <w:rFonts w:ascii="Times New Roman" w:hAnsi="Times New Roman" w:eastAsia="仿宋"/>
          <w:b/>
          <w:bCs/>
          <w:spacing w:val="-5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"/>
          <w:b/>
          <w:bCs/>
          <w:spacing w:val="-5"/>
          <w:sz w:val="32"/>
          <w:szCs w:val="32"/>
        </w:rPr>
        <w:t>附件4. 科创作品比赛规程</w:t>
      </w:r>
    </w:p>
    <w:p w14:paraId="2C7292FF">
      <w:pPr>
        <w:spacing w:line="360" w:lineRule="auto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（一）比赛类别</w:t>
      </w:r>
    </w:p>
    <w:p w14:paraId="427E07E5">
      <w:pPr>
        <w:spacing w:line="360" w:lineRule="auto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1、科普教具作品</w:t>
      </w:r>
    </w:p>
    <w:p w14:paraId="7801AC10">
      <w:pPr>
        <w:spacing w:line="360" w:lineRule="auto"/>
        <w:ind w:firstLine="608" w:firstLineChars="200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结合科学、物理、数学等各学科知识，设计制作可以演示和操作的原型作品，适合于科普展示表演。作品要求具有一定的创新性，具体内容不限，但要求突出现象的明显性、趣味性、互动性和科普性。</w:t>
      </w:r>
    </w:p>
    <w:p w14:paraId="7332D3C7">
      <w:pPr>
        <w:spacing w:line="360" w:lineRule="auto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2、创客项目作品</w:t>
      </w:r>
    </w:p>
    <w:p w14:paraId="7FF35DC5">
      <w:pPr>
        <w:spacing w:line="360" w:lineRule="auto"/>
        <w:ind w:firstLine="608" w:firstLineChars="200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结合当前热门的编程、开源硬件、人工智能等技术，设计制作具有一定功能的创意作品。作品要求将科技与创意结合起来，思考解决生活生产当中存在的一些问题，并制作出能实现基本功能的原型作品。</w:t>
      </w:r>
    </w:p>
    <w:p w14:paraId="36613EBC">
      <w:pPr>
        <w:spacing w:line="360" w:lineRule="auto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（二）比赛规程</w:t>
      </w:r>
    </w:p>
    <w:p w14:paraId="4BB088FD">
      <w:pPr>
        <w:spacing w:line="360" w:lineRule="auto"/>
        <w:ind w:firstLine="608" w:firstLineChars="200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1、撰写研究报告</w:t>
      </w:r>
    </w:p>
    <w:p w14:paraId="4E8431D1">
      <w:pPr>
        <w:spacing w:line="360" w:lineRule="auto"/>
        <w:ind w:firstLine="608" w:firstLineChars="200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参赛选手需要撰写对应作品的研究报告，应包括标题、摘要、关键词、正文（可包括但不限于研究背景、研究目的、研究内容、技术方案、研究结论等）及参考文献等，并于比赛现场提交。</w:t>
      </w:r>
    </w:p>
    <w:p w14:paraId="40780BF2">
      <w:pPr>
        <w:spacing w:line="360" w:lineRule="auto"/>
        <w:ind w:firstLine="608" w:firstLineChars="200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2、现场展示交流</w:t>
      </w:r>
    </w:p>
    <w:p w14:paraId="586F27C4">
      <w:pPr>
        <w:spacing w:line="360" w:lineRule="auto"/>
        <w:ind w:firstLine="608" w:firstLineChars="200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参赛选手按要求向评委和大众进行作品展示讲解，并筛选部分优秀作品入围决赛答辩。</w:t>
      </w:r>
    </w:p>
    <w:p w14:paraId="3B5576C6">
      <w:pPr>
        <w:spacing w:line="360" w:lineRule="auto"/>
        <w:ind w:firstLine="608" w:firstLineChars="200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3、决赛答辩</w:t>
      </w:r>
    </w:p>
    <w:p w14:paraId="58BA6B56">
      <w:pPr>
        <w:spacing w:line="360" w:lineRule="auto"/>
        <w:ind w:firstLine="608" w:firstLineChars="200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每个项目答辩总时长不超过8分钟，其中PPT讲解、实物演示等环节不超过5分钟，评委问答环节不超过3分钟，比赛现场将严格计时。PPT讲解环节内容应简明扼要，主要包括作品简介、解决的问题和作品完成情况等，建议重点围绕实物作品进行介绍。</w:t>
      </w:r>
    </w:p>
    <w:p w14:paraId="02B4A12E">
      <w:pPr>
        <w:spacing w:line="360" w:lineRule="auto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（三）评分标准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5958"/>
        <w:gridCol w:w="901"/>
      </w:tblGrid>
      <w:tr w14:paraId="4BDFD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3" w:type="dxa"/>
          </w:tcPr>
          <w:p w14:paraId="66981A81">
            <w:pPr>
              <w:spacing w:line="360" w:lineRule="auto"/>
              <w:jc w:val="center"/>
              <w:rPr>
                <w:rFonts w:ascii="Times New Roman" w:hAnsi="Times New Roman" w:eastAsia="仿宋"/>
                <w:spacing w:val="-8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pacing w:val="-8"/>
                <w:sz w:val="32"/>
                <w:szCs w:val="32"/>
              </w:rPr>
              <w:t>评分指标</w:t>
            </w:r>
          </w:p>
        </w:tc>
        <w:tc>
          <w:tcPr>
            <w:tcW w:w="5958" w:type="dxa"/>
          </w:tcPr>
          <w:p w14:paraId="743DBAED">
            <w:pPr>
              <w:spacing w:line="360" w:lineRule="auto"/>
              <w:jc w:val="center"/>
              <w:rPr>
                <w:rFonts w:ascii="Times New Roman" w:hAnsi="Times New Roman" w:eastAsia="仿宋"/>
                <w:spacing w:val="-8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pacing w:val="-8"/>
                <w:sz w:val="32"/>
                <w:szCs w:val="32"/>
              </w:rPr>
              <w:t>参考评价</w:t>
            </w:r>
          </w:p>
        </w:tc>
        <w:tc>
          <w:tcPr>
            <w:tcW w:w="901" w:type="dxa"/>
          </w:tcPr>
          <w:p w14:paraId="7F3914CC">
            <w:pPr>
              <w:spacing w:line="360" w:lineRule="auto"/>
              <w:jc w:val="center"/>
              <w:rPr>
                <w:rFonts w:ascii="Times New Roman" w:hAnsi="Times New Roman" w:eastAsia="仿宋"/>
                <w:spacing w:val="-8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pacing w:val="-8"/>
                <w:sz w:val="32"/>
                <w:szCs w:val="32"/>
              </w:rPr>
              <w:t>权重</w:t>
            </w:r>
          </w:p>
        </w:tc>
      </w:tr>
      <w:tr w14:paraId="28DC1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3" w:type="dxa"/>
            <w:vAlign w:val="center"/>
          </w:tcPr>
          <w:p w14:paraId="66138276"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pacing w:val="-25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pacing w:val="-25"/>
                <w:sz w:val="32"/>
                <w:szCs w:val="32"/>
              </w:rPr>
              <w:t>创新性</w:t>
            </w:r>
          </w:p>
        </w:tc>
        <w:tc>
          <w:tcPr>
            <w:tcW w:w="5958" w:type="dxa"/>
          </w:tcPr>
          <w:p w14:paraId="1580D8D0">
            <w:pPr>
              <w:spacing w:line="360" w:lineRule="auto"/>
              <w:rPr>
                <w:rFonts w:ascii="Times New Roman" w:hAnsi="Times New Roman" w:eastAsia="仿宋"/>
                <w:spacing w:val="-25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pacing w:val="-25"/>
                <w:sz w:val="32"/>
                <w:szCs w:val="32"/>
              </w:rPr>
              <w:t>强调原始创意的价值，在思维模式、技术研发、应用新技术、新材料、新工艺等方面有创新和发展。</w:t>
            </w:r>
          </w:p>
        </w:tc>
        <w:tc>
          <w:tcPr>
            <w:tcW w:w="901" w:type="dxa"/>
            <w:vAlign w:val="center"/>
          </w:tcPr>
          <w:p w14:paraId="0B0A6547">
            <w:pPr>
              <w:spacing w:line="360" w:lineRule="auto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30</w:t>
            </w:r>
          </w:p>
        </w:tc>
      </w:tr>
      <w:tr w14:paraId="1C8B8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3" w:type="dxa"/>
            <w:vAlign w:val="center"/>
          </w:tcPr>
          <w:p w14:paraId="1DEDDCF4"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pacing w:val="-25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pacing w:val="-25"/>
                <w:sz w:val="32"/>
                <w:szCs w:val="32"/>
              </w:rPr>
              <w:t>科学性</w:t>
            </w:r>
          </w:p>
        </w:tc>
        <w:tc>
          <w:tcPr>
            <w:tcW w:w="5958" w:type="dxa"/>
          </w:tcPr>
          <w:p w14:paraId="49424552">
            <w:pPr>
              <w:spacing w:line="360" w:lineRule="auto"/>
              <w:rPr>
                <w:rFonts w:ascii="Times New Roman" w:hAnsi="Times New Roman" w:eastAsia="仿宋"/>
                <w:spacing w:val="-25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pacing w:val="-25"/>
                <w:sz w:val="32"/>
                <w:szCs w:val="32"/>
              </w:rPr>
              <w:t>既符合科学原理，又要符合教学实际，作品的演示过程正确，结构真实可靠，能正确反映客观规律。</w:t>
            </w:r>
          </w:p>
        </w:tc>
        <w:tc>
          <w:tcPr>
            <w:tcW w:w="901" w:type="dxa"/>
            <w:vAlign w:val="center"/>
          </w:tcPr>
          <w:p w14:paraId="0E6A3BF9">
            <w:pPr>
              <w:spacing w:line="360" w:lineRule="auto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25</w:t>
            </w:r>
          </w:p>
        </w:tc>
      </w:tr>
      <w:tr w14:paraId="11E88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3" w:type="dxa"/>
            <w:vAlign w:val="center"/>
          </w:tcPr>
          <w:p w14:paraId="30264592"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pacing w:val="-25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pacing w:val="-25"/>
                <w:sz w:val="32"/>
                <w:szCs w:val="32"/>
              </w:rPr>
              <w:t>教学性</w:t>
            </w:r>
          </w:p>
        </w:tc>
        <w:tc>
          <w:tcPr>
            <w:tcW w:w="5958" w:type="dxa"/>
          </w:tcPr>
          <w:p w14:paraId="4747BE9E">
            <w:pPr>
              <w:spacing w:line="360" w:lineRule="auto"/>
              <w:rPr>
                <w:rFonts w:ascii="Times New Roman" w:hAnsi="Times New Roman" w:eastAsia="仿宋"/>
                <w:spacing w:val="-25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pacing w:val="-25"/>
                <w:sz w:val="32"/>
                <w:szCs w:val="32"/>
              </w:rPr>
              <w:t>能应用于科普演示，可直观地对某一问题或现象进行演示、验证；能够激发学生学习兴趣和深入思考，有利于学生主动参与、加强互动及合作交流。</w:t>
            </w:r>
          </w:p>
        </w:tc>
        <w:tc>
          <w:tcPr>
            <w:tcW w:w="901" w:type="dxa"/>
            <w:vAlign w:val="center"/>
          </w:tcPr>
          <w:p w14:paraId="26687F4D">
            <w:pPr>
              <w:spacing w:line="360" w:lineRule="auto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25</w:t>
            </w:r>
          </w:p>
        </w:tc>
      </w:tr>
      <w:tr w14:paraId="1608E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3" w:type="dxa"/>
            <w:vAlign w:val="center"/>
          </w:tcPr>
          <w:p w14:paraId="208B8B1B"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pacing w:val="-25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pacing w:val="-25"/>
                <w:sz w:val="32"/>
                <w:szCs w:val="32"/>
              </w:rPr>
              <w:t>实用性</w:t>
            </w:r>
          </w:p>
        </w:tc>
        <w:tc>
          <w:tcPr>
            <w:tcW w:w="5958" w:type="dxa"/>
            <w:vAlign w:val="center"/>
          </w:tcPr>
          <w:p w14:paraId="24646014">
            <w:pPr>
              <w:spacing w:line="360" w:lineRule="auto"/>
              <w:rPr>
                <w:rFonts w:ascii="Times New Roman" w:hAnsi="Times New Roman" w:eastAsia="仿宋"/>
                <w:spacing w:val="-25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pacing w:val="-25"/>
                <w:sz w:val="32"/>
                <w:szCs w:val="32"/>
              </w:rPr>
              <w:t>作品易于操作、性能稳定；通用性好、安全可靠；满足启发性、综合性、探究性等科普教学要求。</w:t>
            </w:r>
          </w:p>
        </w:tc>
        <w:tc>
          <w:tcPr>
            <w:tcW w:w="901" w:type="dxa"/>
            <w:vAlign w:val="center"/>
          </w:tcPr>
          <w:p w14:paraId="39C6ADDE">
            <w:pPr>
              <w:spacing w:line="360" w:lineRule="auto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10</w:t>
            </w:r>
          </w:p>
        </w:tc>
      </w:tr>
      <w:tr w14:paraId="09B9B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3" w:type="dxa"/>
            <w:vAlign w:val="center"/>
          </w:tcPr>
          <w:p w14:paraId="6E67C679">
            <w:pPr>
              <w:spacing w:line="360" w:lineRule="auto"/>
              <w:jc w:val="center"/>
              <w:rPr>
                <w:rFonts w:ascii="Times New Roman" w:hAnsi="Times New Roman" w:eastAsia="仿宋"/>
                <w:b/>
                <w:spacing w:val="-25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pacing w:val="-25"/>
                <w:sz w:val="32"/>
                <w:szCs w:val="32"/>
              </w:rPr>
              <w:t>安全性</w:t>
            </w:r>
          </w:p>
        </w:tc>
        <w:tc>
          <w:tcPr>
            <w:tcW w:w="5958" w:type="dxa"/>
            <w:vAlign w:val="center"/>
          </w:tcPr>
          <w:p w14:paraId="1E35F2B7">
            <w:pPr>
              <w:spacing w:line="360" w:lineRule="auto"/>
              <w:rPr>
                <w:rFonts w:ascii="Times New Roman" w:hAnsi="Times New Roman" w:eastAsia="仿宋"/>
                <w:spacing w:val="-25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pacing w:val="-25"/>
                <w:sz w:val="32"/>
                <w:szCs w:val="32"/>
              </w:rPr>
              <w:t>作品的设计必须遵循安全性原则，尤其不能对人体造成伤害，如割伤、烧伤、触电、中毒等。</w:t>
            </w:r>
          </w:p>
        </w:tc>
        <w:tc>
          <w:tcPr>
            <w:tcW w:w="901" w:type="dxa"/>
            <w:vAlign w:val="center"/>
          </w:tcPr>
          <w:p w14:paraId="16AD198B">
            <w:pPr>
              <w:spacing w:line="360" w:lineRule="auto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10</w:t>
            </w:r>
          </w:p>
        </w:tc>
      </w:tr>
    </w:tbl>
    <w:p w14:paraId="07BD752F">
      <w:pPr>
        <w:pStyle w:val="8"/>
        <w:spacing w:line="276" w:lineRule="auto"/>
        <w:ind w:left="0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4FA722BB-0559-4763-AD4F-C9712D04F1B3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97AA7FCA-393F-4CC1-BF5E-FCC38F79FD05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158D050D-D741-467D-A0E8-1939063CE3F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BA2D3095-1163-4EC9-94C8-430087BBF6D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A356FB04-9279-4AE5-AFDB-75C3317D220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1928655F-576E-4D07-86E8-10C327F871FF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7" w:fontKey="{98AFEB18-5C8C-456C-B1F2-8AD5233C780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32109E9D-1BCA-4008-8063-5511B6E4BED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81D04">
    <w:pPr>
      <w:pStyle w:val="2"/>
      <w:spacing w:line="211" w:lineRule="auto"/>
      <w:ind w:left="4388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10686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10686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657"/>
    <w:rsid w:val="0000076F"/>
    <w:rsid w:val="0000626C"/>
    <w:rsid w:val="000B5F3B"/>
    <w:rsid w:val="00280FF4"/>
    <w:rsid w:val="00353311"/>
    <w:rsid w:val="004C19EB"/>
    <w:rsid w:val="004D533B"/>
    <w:rsid w:val="00551EC7"/>
    <w:rsid w:val="00596C3F"/>
    <w:rsid w:val="007018B5"/>
    <w:rsid w:val="00730FD8"/>
    <w:rsid w:val="00833556"/>
    <w:rsid w:val="00854FCE"/>
    <w:rsid w:val="00A007B0"/>
    <w:rsid w:val="00A75657"/>
    <w:rsid w:val="00AC1E19"/>
    <w:rsid w:val="00D04D2D"/>
    <w:rsid w:val="00D85EE0"/>
    <w:rsid w:val="00DD3784"/>
    <w:rsid w:val="00E579FA"/>
    <w:rsid w:val="00FF4F15"/>
    <w:rsid w:val="13965B17"/>
    <w:rsid w:val="1FD05B1A"/>
    <w:rsid w:val="29104B1E"/>
    <w:rsid w:val="56E2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eastAsia="Arial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"/>
    <w:basedOn w:val="1"/>
    <w:qFormat/>
    <w:uiPriority w:val="0"/>
    <w:rPr>
      <w:rFonts w:ascii="等线" w:hAnsi="等线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rFonts w:ascii="等线" w:hAnsi="等线"/>
    </w:rPr>
  </w:style>
  <w:style w:type="paragraph" w:customStyle="1" w:styleId="9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customStyle="1" w:styleId="10">
    <w:name w:val="Table Text"/>
    <w:basedOn w:val="1"/>
    <w:semiHidden/>
    <w:qFormat/>
    <w:uiPriority w:val="0"/>
    <w:rPr>
      <w:rFonts w:eastAsia="Arial"/>
    </w:rPr>
  </w:style>
  <w:style w:type="character" w:customStyle="1" w:styleId="11">
    <w:name w:val="页眉 字符"/>
    <w:basedOn w:val="6"/>
    <w:link w:val="4"/>
    <w:qFormat/>
    <w:uiPriority w:val="99"/>
    <w:rPr>
      <w:rFonts w:ascii="Arial" w:hAnsi="Arial" w:eastAsia="微软雅黑" w:cs="Times New Roman"/>
      <w:kern w:val="2"/>
      <w:sz w:val="18"/>
      <w:szCs w:val="18"/>
    </w:rPr>
  </w:style>
  <w:style w:type="character" w:customStyle="1" w:styleId="12">
    <w:name w:val="页脚 字符"/>
    <w:basedOn w:val="6"/>
    <w:link w:val="3"/>
    <w:qFormat/>
    <w:uiPriority w:val="0"/>
    <w:rPr>
      <w:rFonts w:ascii="Arial" w:hAnsi="Arial" w:eastAsia="微软雅黑" w:cs="Times New Roman"/>
      <w:kern w:val="2"/>
      <w:sz w:val="18"/>
      <w:szCs w:val="18"/>
    </w:rPr>
  </w:style>
  <w:style w:type="table" w:customStyle="1" w:styleId="13">
    <w:name w:val="Table Normal"/>
    <w:unhideWhenUsed/>
    <w:qFormat/>
    <w:uiPriority w:val="0"/>
    <w:pPr>
      <w:spacing w:after="160" w:line="278" w:lineRule="auto"/>
    </w:pPr>
    <w:rPr>
      <w:rFonts w:ascii="Arial" w:hAnsi="Arial" w:eastAsia="等线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745</Words>
  <Characters>755</Characters>
  <Lines>5</Lines>
  <Paragraphs>1</Paragraphs>
  <TotalTime>0</TotalTime>
  <ScaleCrop>false</ScaleCrop>
  <LinksUpToDate>false</LinksUpToDate>
  <CharactersWithSpaces>756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2025-10-03T09:09:00Z</dcterms:created>
  <dc:creator>gdzyj</dc:creator>
  <cp:lastModifiedBy>GGBond</cp:lastModifiedBy>
  <cp:lastPrinted>2025-09-30T10:05:00Z</cp:lastPrinted>
  <dcterms:modified xsi:type="dcterms:W3CDTF">2025-10-17T06:34:47Z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eyJoZGlkIjoiMjE2NzI5NjZkM2RmNWU1NjlkNGI2YzkwMTljOTQzZTkiLCJ1c2VySWQiOiIzNTA2MjY0MzIifQ==</vt:lpwstr>
  </property>
  <property fmtid="{D5CDD505-2E9C-101B-9397-08002B2CF9AE}" pid="4" name="ICV">
    <vt:lpwstr>583EF2357CC14BF0BD2491EEDC589311_12</vt:lpwstr>
  </property>
</Properties>
</file>